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43" w:rsidRPr="00673FFD" w:rsidRDefault="00E84C43" w:rsidP="00E84C43">
      <w:pPr>
        <w:pStyle w:val="titel"/>
      </w:pPr>
      <w:r w:rsidRPr="00673FFD">
        <w:t>Reznor heater Gas condensatie type V3 - RHeco ULSA</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De verwarming zal worden gerealiseerd door middel van een condenserende gasluchtverhitter met 2 warmtewisselaars.</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Elke luchtverhitter moet voldoen aan de Europese normen, geldig voor België.</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De brander is van het gesloten type. De mogelijkheden tot aansluiting van de verbrandingslucht en rookgasafvoer zijn C12, C32, C42, C52, C82. Afhankelijk van dak-of muurdoorvoer, zullen de aansluitingen horizontaal of verticaal op het toestel zijn voorzien.</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Het apparaat is ontworpen met 2 warmtewisselaars.</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De primaire warmtewisselaar is gemaakt uit corrosiebestendig staal en weerstaat thermische spanningen.</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 xml:space="preserve">De secundaire warmtewisselaar is </w:t>
      </w:r>
      <w:proofErr w:type="spellStart"/>
      <w:r w:rsidRPr="00673FFD">
        <w:rPr>
          <w:rFonts w:ascii="Arial" w:eastAsia="Times New Roman" w:hAnsi="Arial" w:cs="Arial"/>
          <w:color w:val="000000"/>
          <w:szCs w:val="24"/>
          <w:lang w:eastAsia="fr-FR"/>
        </w:rPr>
        <w:t>lasvrij</w:t>
      </w:r>
      <w:proofErr w:type="spellEnd"/>
      <w:r w:rsidRPr="00673FFD">
        <w:rPr>
          <w:rFonts w:ascii="Arial" w:eastAsia="Times New Roman" w:hAnsi="Arial" w:cs="Arial"/>
          <w:color w:val="000000"/>
          <w:szCs w:val="24"/>
          <w:lang w:eastAsia="fr-FR"/>
        </w:rPr>
        <w:t xml:space="preserve"> gefabriceerd uit </w:t>
      </w:r>
      <w:r w:rsidR="00673FFD">
        <w:rPr>
          <w:rFonts w:ascii="Arial" w:eastAsia="Times New Roman" w:hAnsi="Arial" w:cs="Arial"/>
          <w:color w:val="000000"/>
          <w:szCs w:val="24"/>
          <w:lang w:eastAsia="fr-FR"/>
        </w:rPr>
        <w:t>INOX</w:t>
      </w:r>
      <w:r w:rsidRPr="00673FFD">
        <w:rPr>
          <w:rFonts w:ascii="Arial" w:eastAsia="Times New Roman" w:hAnsi="Arial" w:cs="Arial"/>
          <w:color w:val="000000"/>
          <w:szCs w:val="24"/>
          <w:lang w:eastAsia="fr-FR"/>
        </w:rPr>
        <w:t>. Dit is tevens ook het tweede deel van het rookgassircuit waarin de condensatie plaatsvindt.</w:t>
      </w:r>
      <w:bookmarkStart w:id="0" w:name="_GoBack"/>
      <w:bookmarkEnd w:id="0"/>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 xml:space="preserve">Het thermisch rendement van </w:t>
      </w:r>
      <w:r w:rsidR="00980D20" w:rsidRPr="00673FFD">
        <w:rPr>
          <w:rFonts w:ascii="Arial" w:eastAsia="Times New Roman" w:hAnsi="Arial" w:cs="Arial"/>
          <w:color w:val="000000"/>
          <w:szCs w:val="24"/>
          <w:lang w:eastAsia="fr-FR"/>
        </w:rPr>
        <w:t>minimaal 98</w:t>
      </w:r>
      <w:r w:rsidRPr="00673FFD">
        <w:rPr>
          <w:rFonts w:ascii="Arial" w:eastAsia="Times New Roman" w:hAnsi="Arial" w:cs="Arial"/>
          <w:color w:val="000000"/>
          <w:szCs w:val="24"/>
          <w:lang w:eastAsia="fr-FR"/>
        </w:rPr>
        <w:t>% bij vollast en tot 109% bij gedeeltelijke belasting zorgt voor lagere exploitatiekosten.</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 xml:space="preserve">CO en NOx-uitstoot </w:t>
      </w:r>
      <w:r w:rsidR="004E2987" w:rsidRPr="00673FFD">
        <w:rPr>
          <w:rFonts w:ascii="Arial" w:eastAsia="Times New Roman" w:hAnsi="Arial" w:cs="Arial"/>
          <w:color w:val="000000"/>
          <w:szCs w:val="24"/>
          <w:lang w:eastAsia="fr-FR"/>
        </w:rPr>
        <w:t xml:space="preserve">zijn </w:t>
      </w:r>
      <w:r w:rsidRPr="00673FFD">
        <w:rPr>
          <w:rFonts w:ascii="Arial" w:eastAsia="Times New Roman" w:hAnsi="Arial" w:cs="Arial"/>
          <w:color w:val="000000"/>
          <w:szCs w:val="24"/>
          <w:lang w:eastAsia="fr-FR"/>
        </w:rPr>
        <w:t>lager dan 25 ppm, beduidend lager dan de vorige generatie gasgestookte luchtverwarmers, en beter dan de vereisten van Europese normen.</w:t>
      </w:r>
    </w:p>
    <w:p w:rsidR="00E84C43" w:rsidRPr="00673FFD" w:rsidRDefault="004E2987"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M</w:t>
      </w:r>
      <w:r w:rsidR="00E84C43" w:rsidRPr="00673FFD">
        <w:rPr>
          <w:rFonts w:ascii="Arial" w:eastAsia="Times New Roman" w:hAnsi="Arial" w:cs="Arial"/>
          <w:color w:val="000000"/>
          <w:szCs w:val="24"/>
          <w:lang w:eastAsia="fr-FR"/>
        </w:rPr>
        <w:t>odulerende premixbrander met verbrandingscircuit in onderdruk.Door de onderdruk kunnen gas of rookgassen onmogelijk ontsnappen naar de verwarmde ruimte. Door deze technologie, uniek in de markt van gasgestookte luchtverwarmers, kan de luchtverhitter gebruikt worden in openbare gebouwen.</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Modulatieverhouding van 5:1 voor een precieze temperatuurcontrole. Door de geringe temperatuursverschillen van de uitgeblazen lucht wordt stratificatie beperkt. </w:t>
      </w:r>
    </w:p>
    <w:p w:rsidR="00E84C43" w:rsidRPr="00673FFD" w:rsidRDefault="00E84C43" w:rsidP="00E84C43">
      <w:pPr>
        <w:spacing w:line="240" w:lineRule="auto"/>
        <w:rPr>
          <w:rFonts w:ascii="Arial" w:eastAsia="Times New Roman" w:hAnsi="Arial" w:cs="Arial"/>
          <w:color w:val="000000"/>
          <w:szCs w:val="24"/>
          <w:lang w:eastAsia="fr-FR"/>
        </w:rPr>
      </w:pPr>
      <w:r w:rsidRPr="00673FFD">
        <w:rPr>
          <w:rFonts w:ascii="Arial" w:eastAsia="Times New Roman" w:hAnsi="Arial" w:cs="Arial"/>
          <w:color w:val="000000"/>
          <w:szCs w:val="24"/>
          <w:lang w:eastAsia="fr-FR"/>
        </w:rPr>
        <w:t>Een krachtige axiale ventilator zorgt voor een lange worp en een betere verdeling van warmte lucht in de ruimte. De verstelbare horizontale lamellen laten een efficiente regeling van de luchtstroom toe</w:t>
      </w:r>
      <w:r w:rsidR="00673FFD">
        <w:rPr>
          <w:rFonts w:ascii="Arial" w:eastAsia="Times New Roman" w:hAnsi="Arial" w:cs="Arial"/>
          <w:color w:val="000000"/>
          <w:szCs w:val="24"/>
          <w:lang w:eastAsia="fr-FR"/>
        </w:rPr>
        <w:t>;</w:t>
      </w:r>
    </w:p>
    <w:tbl>
      <w:tblPr>
        <w:tblStyle w:val="TableGrid"/>
        <w:tblW w:w="0" w:type="auto"/>
        <w:tblLayout w:type="fixed"/>
        <w:tblLook w:val="04A0" w:firstRow="1" w:lastRow="0" w:firstColumn="1" w:lastColumn="0" w:noHBand="0" w:noVBand="1"/>
      </w:tblPr>
      <w:tblGrid>
        <w:gridCol w:w="3227"/>
        <w:gridCol w:w="1057"/>
        <w:gridCol w:w="1058"/>
        <w:gridCol w:w="1058"/>
        <w:gridCol w:w="1058"/>
        <w:gridCol w:w="1058"/>
        <w:gridCol w:w="1058"/>
      </w:tblGrid>
      <w:tr w:rsidR="00E84C43" w:rsidRPr="00673FFD" w:rsidTr="00B72DF1">
        <w:trPr>
          <w:trHeight w:val="537"/>
        </w:trPr>
        <w:tc>
          <w:tcPr>
            <w:tcW w:w="3227" w:type="dxa"/>
          </w:tcPr>
          <w:p w:rsidR="00E84C43" w:rsidRPr="00673FFD" w:rsidRDefault="00E84C43" w:rsidP="00B72DF1">
            <w:pPr>
              <w:rPr>
                <w:rFonts w:ascii="Arial" w:hAnsi="Arial" w:cs="Arial"/>
                <w:lang w:val="fr-BE"/>
              </w:rPr>
            </w:pPr>
            <w:r w:rsidRPr="00673FFD">
              <w:rPr>
                <w:rFonts w:ascii="Arial" w:hAnsi="Arial" w:cs="Arial"/>
                <w:bCs/>
              </w:rPr>
              <w:t>Modellen</w:t>
            </w:r>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ULSA</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025</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035</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050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075</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100</w:t>
            </w:r>
          </w:p>
        </w:tc>
      </w:tr>
      <w:tr w:rsidR="00E84C43" w:rsidRPr="00673FFD" w:rsidTr="00B72DF1">
        <w:trPr>
          <w:trHeight w:val="537"/>
        </w:trPr>
        <w:tc>
          <w:tcPr>
            <w:tcW w:w="3227" w:type="dxa"/>
          </w:tcPr>
          <w:p w:rsidR="00E84C43" w:rsidRPr="00673FFD" w:rsidRDefault="00E84C43" w:rsidP="00B72DF1">
            <w:pPr>
              <w:rPr>
                <w:rFonts w:ascii="Arial" w:hAnsi="Arial" w:cs="Arial"/>
                <w:lang w:val="fr-BE"/>
              </w:rPr>
            </w:pPr>
            <w:proofErr w:type="spellStart"/>
            <w:r w:rsidRPr="00673FFD">
              <w:rPr>
                <w:rFonts w:ascii="Arial" w:hAnsi="Arial" w:cs="Arial"/>
                <w:lang w:val="fr-BE"/>
              </w:rPr>
              <w:t>Vermogen</w:t>
            </w:r>
            <w:proofErr w:type="spellEnd"/>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kW</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25.0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32.7</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49.7</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69.6</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94.4</w:t>
            </w:r>
          </w:p>
        </w:tc>
      </w:tr>
      <w:tr w:rsidR="00E84C43" w:rsidRPr="00673FFD" w:rsidTr="00B72DF1">
        <w:trPr>
          <w:trHeight w:val="537"/>
        </w:trPr>
        <w:tc>
          <w:tcPr>
            <w:tcW w:w="3227" w:type="dxa"/>
          </w:tcPr>
          <w:p w:rsidR="00E84C43" w:rsidRPr="00673FFD" w:rsidRDefault="00E84C43" w:rsidP="00B72DF1">
            <w:pPr>
              <w:rPr>
                <w:rFonts w:ascii="Arial" w:hAnsi="Arial" w:cs="Arial"/>
                <w:lang w:val="en-US"/>
              </w:rPr>
            </w:pPr>
            <w:r w:rsidRPr="00673FFD">
              <w:rPr>
                <w:rFonts w:ascii="Arial" w:hAnsi="Arial" w:cs="Arial"/>
                <w:lang w:val="en-US"/>
              </w:rPr>
              <w:t xml:space="preserve">Efficiency (Hi) – </w:t>
            </w:r>
            <w:proofErr w:type="spellStart"/>
            <w:r w:rsidRPr="00673FFD">
              <w:rPr>
                <w:rFonts w:ascii="Arial" w:hAnsi="Arial" w:cs="Arial"/>
                <w:lang w:val="en-US"/>
              </w:rPr>
              <w:t>bij</w:t>
            </w:r>
            <w:proofErr w:type="spellEnd"/>
            <w:r w:rsidRPr="00673FFD">
              <w:rPr>
                <w:rFonts w:ascii="Arial" w:hAnsi="Arial" w:cs="Arial"/>
                <w:lang w:val="en-US"/>
              </w:rPr>
              <w:t xml:space="preserve"> </w:t>
            </w:r>
            <w:proofErr w:type="spellStart"/>
            <w:r w:rsidRPr="00673FFD">
              <w:rPr>
                <w:rFonts w:ascii="Arial" w:hAnsi="Arial" w:cs="Arial"/>
                <w:lang w:val="en-US"/>
              </w:rPr>
              <w:t>deellast</w:t>
            </w:r>
            <w:proofErr w:type="spellEnd"/>
          </w:p>
          <w:p w:rsidR="00E84C43" w:rsidRPr="00673FFD" w:rsidRDefault="00E84C43" w:rsidP="00B72DF1">
            <w:pPr>
              <w:rPr>
                <w:rFonts w:ascii="Arial" w:hAnsi="Arial" w:cs="Arial"/>
                <w:lang w:val="en-US"/>
              </w:rPr>
            </w:pPr>
            <w:r w:rsidRPr="00673FFD">
              <w:rPr>
                <w:rFonts w:ascii="Arial" w:hAnsi="Arial" w:cs="Arial"/>
                <w:lang w:val="en-US"/>
              </w:rPr>
              <w:t>-Full load</w:t>
            </w:r>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109.2</w:t>
            </w:r>
          </w:p>
          <w:p w:rsidR="00E84C43" w:rsidRPr="00673FFD" w:rsidRDefault="00E84C43" w:rsidP="00B72DF1">
            <w:pPr>
              <w:rPr>
                <w:rFonts w:ascii="Arial" w:hAnsi="Arial" w:cs="Arial"/>
                <w:lang w:val="fr-BE"/>
              </w:rPr>
            </w:pPr>
            <w:r w:rsidRPr="00673FFD">
              <w:rPr>
                <w:rFonts w:ascii="Arial" w:hAnsi="Arial" w:cs="Arial"/>
                <w:lang w:val="fr-BE"/>
              </w:rPr>
              <w:t>98.3</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108.2</w:t>
            </w:r>
          </w:p>
          <w:p w:rsidR="00E84C43" w:rsidRPr="00673FFD" w:rsidRDefault="00E84C43" w:rsidP="00B72DF1">
            <w:pPr>
              <w:rPr>
                <w:rFonts w:ascii="Arial" w:hAnsi="Arial" w:cs="Arial"/>
                <w:lang w:val="fr-BE"/>
              </w:rPr>
            </w:pPr>
            <w:r w:rsidRPr="00673FFD">
              <w:rPr>
                <w:rFonts w:ascii="Arial" w:hAnsi="Arial" w:cs="Arial"/>
                <w:lang w:val="fr-BE"/>
              </w:rPr>
              <w:t>98.0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108.7</w:t>
            </w:r>
          </w:p>
          <w:p w:rsidR="00E84C43" w:rsidRPr="00673FFD" w:rsidRDefault="00E84C43" w:rsidP="00B72DF1">
            <w:pPr>
              <w:rPr>
                <w:rFonts w:ascii="Arial" w:hAnsi="Arial" w:cs="Arial"/>
                <w:lang w:val="fr-BE"/>
              </w:rPr>
            </w:pPr>
            <w:r w:rsidRPr="00673FFD">
              <w:rPr>
                <w:rFonts w:ascii="Arial" w:hAnsi="Arial" w:cs="Arial"/>
                <w:lang w:val="fr-BE"/>
              </w:rPr>
              <w:t>98.6</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106.5</w:t>
            </w:r>
          </w:p>
          <w:p w:rsidR="00E84C43" w:rsidRPr="00673FFD" w:rsidRDefault="00E84C43" w:rsidP="00B72DF1">
            <w:pPr>
              <w:rPr>
                <w:rFonts w:ascii="Arial" w:hAnsi="Arial" w:cs="Arial"/>
                <w:lang w:val="fr-BE"/>
              </w:rPr>
            </w:pPr>
            <w:r w:rsidRPr="00673FFD">
              <w:rPr>
                <w:rFonts w:ascii="Arial" w:hAnsi="Arial" w:cs="Arial"/>
                <w:lang w:val="fr-BE"/>
              </w:rPr>
              <w:t>98.6</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108.9</w:t>
            </w:r>
          </w:p>
          <w:p w:rsidR="00E84C43" w:rsidRPr="00673FFD" w:rsidRDefault="00E84C43" w:rsidP="00B72DF1">
            <w:pPr>
              <w:rPr>
                <w:rFonts w:ascii="Arial" w:hAnsi="Arial" w:cs="Arial"/>
                <w:lang w:val="fr-BE"/>
              </w:rPr>
            </w:pPr>
            <w:r w:rsidRPr="00673FFD">
              <w:rPr>
                <w:rFonts w:ascii="Arial" w:hAnsi="Arial" w:cs="Arial"/>
                <w:lang w:val="fr-BE"/>
              </w:rPr>
              <w:t>98.6</w:t>
            </w:r>
          </w:p>
        </w:tc>
      </w:tr>
      <w:tr w:rsidR="00E84C43" w:rsidRPr="00673FFD" w:rsidTr="00B72DF1">
        <w:trPr>
          <w:trHeight w:val="537"/>
        </w:trPr>
        <w:tc>
          <w:tcPr>
            <w:tcW w:w="3227" w:type="dxa"/>
          </w:tcPr>
          <w:p w:rsidR="00E84C43" w:rsidRPr="00673FFD" w:rsidRDefault="00E84C43" w:rsidP="00B72DF1">
            <w:pPr>
              <w:rPr>
                <w:rFonts w:ascii="Arial" w:hAnsi="Arial" w:cs="Arial"/>
                <w:lang w:val="fr-BE"/>
              </w:rPr>
            </w:pPr>
            <w:proofErr w:type="spellStart"/>
            <w:r w:rsidRPr="00673FFD">
              <w:rPr>
                <w:rFonts w:ascii="Arial" w:hAnsi="Arial" w:cs="Arial"/>
                <w:lang w:val="fr-BE"/>
              </w:rPr>
              <w:t>Airflow</w:t>
            </w:r>
            <w:proofErr w:type="spellEnd"/>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m³/h</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2900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3700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5600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7900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10500</w:t>
            </w:r>
          </w:p>
        </w:tc>
      </w:tr>
      <w:tr w:rsidR="00E84C43" w:rsidRPr="00673FFD" w:rsidTr="00B72DF1">
        <w:trPr>
          <w:trHeight w:val="537"/>
        </w:trPr>
        <w:tc>
          <w:tcPr>
            <w:tcW w:w="3227" w:type="dxa"/>
          </w:tcPr>
          <w:p w:rsidR="00E84C43" w:rsidRPr="00673FFD" w:rsidRDefault="00E84C43" w:rsidP="00B72DF1">
            <w:pPr>
              <w:rPr>
                <w:rFonts w:ascii="Arial" w:hAnsi="Arial" w:cs="Arial"/>
                <w:lang w:val="fr-BE"/>
              </w:rPr>
            </w:pPr>
            <w:proofErr w:type="spellStart"/>
            <w:r w:rsidRPr="00673FFD">
              <w:rPr>
                <w:rFonts w:ascii="Arial" w:hAnsi="Arial" w:cs="Arial"/>
                <w:lang w:val="fr-BE"/>
              </w:rPr>
              <w:t>Worp</w:t>
            </w:r>
            <w:proofErr w:type="spellEnd"/>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M</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20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23</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30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30</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36</w:t>
            </w:r>
          </w:p>
        </w:tc>
      </w:tr>
      <w:tr w:rsidR="00E84C43" w:rsidRPr="00673FFD" w:rsidTr="00B72DF1">
        <w:trPr>
          <w:trHeight w:val="537"/>
        </w:trPr>
        <w:tc>
          <w:tcPr>
            <w:tcW w:w="3227" w:type="dxa"/>
          </w:tcPr>
          <w:p w:rsidR="00E84C43" w:rsidRPr="00673FFD" w:rsidRDefault="00E84C43" w:rsidP="00B72DF1">
            <w:pPr>
              <w:rPr>
                <w:rFonts w:ascii="Arial" w:hAnsi="Arial" w:cs="Arial"/>
                <w:lang w:val="fr-BE"/>
              </w:rPr>
            </w:pPr>
            <w:proofErr w:type="spellStart"/>
            <w:r w:rsidRPr="00673FFD">
              <w:rPr>
                <w:rFonts w:ascii="Arial" w:hAnsi="Arial" w:cs="Arial"/>
                <w:lang w:val="fr-BE"/>
              </w:rPr>
              <w:t>Gewicht</w:t>
            </w:r>
            <w:proofErr w:type="spellEnd"/>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Kg</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112</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129</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141</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197</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243</w:t>
            </w:r>
          </w:p>
        </w:tc>
      </w:tr>
      <w:tr w:rsidR="00E84C43" w:rsidRPr="00673FFD" w:rsidTr="00B72DF1">
        <w:trPr>
          <w:trHeight w:val="537"/>
        </w:trPr>
        <w:tc>
          <w:tcPr>
            <w:tcW w:w="3227" w:type="dxa"/>
          </w:tcPr>
          <w:p w:rsidR="00E84C43" w:rsidRPr="00673FFD" w:rsidRDefault="00E84C43" w:rsidP="00B72DF1">
            <w:pPr>
              <w:rPr>
                <w:rFonts w:ascii="Arial" w:hAnsi="Arial" w:cs="Arial"/>
                <w:lang w:val="fr-BE"/>
              </w:rPr>
            </w:pPr>
            <w:proofErr w:type="spellStart"/>
            <w:r w:rsidRPr="00673FFD">
              <w:rPr>
                <w:rFonts w:ascii="Arial" w:hAnsi="Arial" w:cs="Arial"/>
                <w:lang w:val="fr-BE"/>
              </w:rPr>
              <w:t>Geluidsdruk</w:t>
            </w:r>
            <w:proofErr w:type="spellEnd"/>
          </w:p>
        </w:tc>
        <w:tc>
          <w:tcPr>
            <w:tcW w:w="1057" w:type="dxa"/>
          </w:tcPr>
          <w:p w:rsidR="00E84C43" w:rsidRPr="00673FFD" w:rsidRDefault="00E84C43" w:rsidP="00B72DF1">
            <w:pPr>
              <w:rPr>
                <w:rFonts w:ascii="Arial" w:hAnsi="Arial" w:cs="Arial"/>
                <w:lang w:val="fr-BE"/>
              </w:rPr>
            </w:pPr>
            <w:r w:rsidRPr="00673FFD">
              <w:rPr>
                <w:rFonts w:ascii="Arial" w:hAnsi="Arial" w:cs="Arial"/>
                <w:lang w:val="fr-BE"/>
              </w:rPr>
              <w:t>dB(A)</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47</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51</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55</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53</w:t>
            </w:r>
          </w:p>
        </w:tc>
        <w:tc>
          <w:tcPr>
            <w:tcW w:w="1058" w:type="dxa"/>
          </w:tcPr>
          <w:p w:rsidR="00E84C43" w:rsidRPr="00673FFD" w:rsidRDefault="00E84C43" w:rsidP="00B72DF1">
            <w:pPr>
              <w:rPr>
                <w:rFonts w:ascii="Arial" w:hAnsi="Arial" w:cs="Arial"/>
                <w:lang w:val="fr-BE"/>
              </w:rPr>
            </w:pPr>
            <w:r w:rsidRPr="00673FFD">
              <w:rPr>
                <w:rFonts w:ascii="Arial" w:hAnsi="Arial" w:cs="Arial"/>
                <w:lang w:val="fr-BE"/>
              </w:rPr>
              <w:t>58</w:t>
            </w:r>
          </w:p>
        </w:tc>
      </w:tr>
    </w:tbl>
    <w:p w:rsidR="004716DF" w:rsidRPr="00673FFD" w:rsidRDefault="004716DF">
      <w:pPr>
        <w:rPr>
          <w:rFonts w:ascii="Arial" w:hAnsi="Arial" w:cs="Arial"/>
        </w:rPr>
      </w:pPr>
    </w:p>
    <w:sectPr w:rsidR="004716DF" w:rsidRPr="00673FFD" w:rsidSect="004716D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EE" w:rsidRDefault="00B437EE" w:rsidP="00E84C43">
      <w:pPr>
        <w:spacing w:after="0" w:line="240" w:lineRule="auto"/>
      </w:pPr>
      <w:r>
        <w:separator/>
      </w:r>
    </w:p>
  </w:endnote>
  <w:endnote w:type="continuationSeparator" w:id="0">
    <w:p w:rsidR="00B437EE" w:rsidRDefault="00B437EE" w:rsidP="00E8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43" w:rsidRPr="006F56DC" w:rsidRDefault="00E84C43" w:rsidP="00E84C43">
    <w:r w:rsidRPr="006F56DC">
      <w:t>Complete technische documentatie beschikbaar op het internet.</w:t>
    </w:r>
  </w:p>
  <w:p w:rsidR="00E84C43" w:rsidRPr="00673FFD" w:rsidRDefault="00A33F65" w:rsidP="00E84C43">
    <w:hyperlink r:id="rId1" w:history="1">
      <w:r w:rsidR="00E84C43" w:rsidRPr="006F56DC">
        <w:rPr>
          <w:rStyle w:val="Hyperlink"/>
        </w:rPr>
        <w:t>http://www.reznor.be</w:t>
      </w:r>
    </w:hyperlink>
    <w:r w:rsidR="00E84C43" w:rsidRPr="006F56DC">
      <w:t> of </w:t>
    </w:r>
    <w:hyperlink r:id="rId2" w:history="1">
      <w:r w:rsidR="00E84C43" w:rsidRPr="006F56DC">
        <w:rPr>
          <w:rStyle w:val="Hyperlink"/>
        </w:rPr>
        <w:t>http://www.molimextherm.com</w:t>
      </w:r>
    </w:hyperlink>
  </w:p>
  <w:p w:rsidR="00E84C43" w:rsidRPr="00673FFD" w:rsidRDefault="00E84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EE" w:rsidRDefault="00B437EE" w:rsidP="00E84C43">
      <w:pPr>
        <w:spacing w:after="0" w:line="240" w:lineRule="auto"/>
      </w:pPr>
      <w:r>
        <w:separator/>
      </w:r>
    </w:p>
  </w:footnote>
  <w:footnote w:type="continuationSeparator" w:id="0">
    <w:p w:rsidR="00B437EE" w:rsidRDefault="00B437EE" w:rsidP="00E84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4C43"/>
    <w:rsid w:val="003E0770"/>
    <w:rsid w:val="004716DF"/>
    <w:rsid w:val="004E2987"/>
    <w:rsid w:val="00673FFD"/>
    <w:rsid w:val="00980D20"/>
    <w:rsid w:val="009F10E0"/>
    <w:rsid w:val="00B437EE"/>
    <w:rsid w:val="00B67D2F"/>
    <w:rsid w:val="00DF328E"/>
    <w:rsid w:val="00E84C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271B6-6B92-46FF-A788-F64A086C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
    <w:name w:val="titel"/>
    <w:basedOn w:val="Normal"/>
    <w:next w:val="Normal"/>
    <w:rsid w:val="00E84C43"/>
    <w:pPr>
      <w:pBdr>
        <w:bottom w:val="single" w:sz="4" w:space="1" w:color="auto"/>
      </w:pBdr>
      <w:spacing w:after="120" w:line="264" w:lineRule="auto"/>
    </w:pPr>
    <w:rPr>
      <w:rFonts w:ascii="Arial" w:eastAsia="Times New Roman" w:hAnsi="Arial" w:cs="Arial"/>
      <w:b/>
      <w:color w:val="000000"/>
      <w:sz w:val="24"/>
      <w:szCs w:val="24"/>
      <w:lang w:eastAsia="fr-FR"/>
    </w:rPr>
  </w:style>
  <w:style w:type="table" w:styleId="TableGrid">
    <w:name w:val="Table Grid"/>
    <w:basedOn w:val="TableNormal"/>
    <w:uiPriority w:val="59"/>
    <w:rsid w:val="00E8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4C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84C43"/>
  </w:style>
  <w:style w:type="paragraph" w:styleId="Footer">
    <w:name w:val="footer"/>
    <w:basedOn w:val="Normal"/>
    <w:link w:val="FooterChar"/>
    <w:uiPriority w:val="99"/>
    <w:semiHidden/>
    <w:unhideWhenUsed/>
    <w:rsid w:val="00E84C4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84C43"/>
  </w:style>
  <w:style w:type="character" w:styleId="Hyperlink">
    <w:name w:val="Hyperlink"/>
    <w:basedOn w:val="DefaultParagraphFont"/>
    <w:uiPriority w:val="99"/>
    <w:unhideWhenUsed/>
    <w:rsid w:val="00E84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translate.google.com/translate?hl=nl&amp;prev=_t&amp;sl=fr&amp;tl=nl&amp;u=http://www.molimextherm.com" TargetMode="External"/><Relationship Id="rId1" Type="http://schemas.openxmlformats.org/officeDocument/2006/relationships/hyperlink" Target="http://translate.google.com/translate?hl=nl&amp;prev=_t&amp;sl=fr&amp;tl=nl&amp;u=http://www.rezno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Dewaele</dc:creator>
  <cp:lastModifiedBy>Luc Adam</cp:lastModifiedBy>
  <cp:revision>5</cp:revision>
  <dcterms:created xsi:type="dcterms:W3CDTF">2014-01-13T08:29:00Z</dcterms:created>
  <dcterms:modified xsi:type="dcterms:W3CDTF">2014-09-01T09:26:00Z</dcterms:modified>
</cp:coreProperties>
</file>